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AA8" w:rsidRDefault="00623AA8" w:rsidP="00623AA8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01C2C5E" wp14:editId="43DEDFC6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AA8" w:rsidRDefault="00623AA8" w:rsidP="00623AA8">
      <w:pPr>
        <w:pStyle w:val="a3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623AA8" w:rsidRDefault="00623AA8" w:rsidP="00623AA8">
      <w:pPr>
        <w:pStyle w:val="a3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623AA8" w:rsidRDefault="00623AA8" w:rsidP="00623AA8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623AA8" w:rsidRDefault="00623AA8" w:rsidP="00623AA8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623AA8" w:rsidRDefault="00623AA8" w:rsidP="00623AA8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623AA8" w:rsidRDefault="00623AA8" w:rsidP="00623AA8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623AA8" w:rsidRDefault="00623AA8" w:rsidP="00623AA8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623AA8" w:rsidRDefault="00623AA8" w:rsidP="00623AA8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623AA8" w:rsidTr="000C002E">
        <w:tc>
          <w:tcPr>
            <w:tcW w:w="9747" w:type="dxa"/>
          </w:tcPr>
          <w:p w:rsidR="00623AA8" w:rsidRDefault="00623AA8" w:rsidP="000C002E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319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623AA8" w:rsidRDefault="00623AA8" w:rsidP="000C002E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1D0891" w:rsidRPr="00610BBB" w:rsidRDefault="001D0891" w:rsidP="001D0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надання дозволу на  розробку технічної документації із землеустрою щодо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інвентаризації </w:t>
      </w: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>земельн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ої</w:t>
      </w: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ділян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ки, що перебуває в користуванні на умовах оренди у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Гребініченко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Валерії Ігорівни та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Малишевої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Ірини Анатоліївни, цільове призначення – 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індивідуального дачного будівництва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, розташованої за адресою: Одеська область, Одеський район,               с. Фонтанка, вул. Молодіжна, 57/98</w:t>
      </w:r>
    </w:p>
    <w:p w:rsidR="001D0891" w:rsidRPr="00610BBB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Pr="00610BBB" w:rsidRDefault="001D0891" w:rsidP="001D0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К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еруючись ст. ст. 12,</w:t>
      </w:r>
      <w:r>
        <w:rPr>
          <w:rFonts w:ascii="Times New Roman" w:hAnsi="Times New Roman" w:cs="Times New Roman"/>
          <w:sz w:val="28"/>
          <w:szCs w:val="24"/>
          <w:lang w:val="uk-UA"/>
        </w:rPr>
        <w:t>134,185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 Земельного кодексу України, розділ VII Закону України «Про державний земельний кадастр», ст. 19,57 Закону України «Про землеустрій»,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ст.12,26,33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Постановою Кабінету Міністрів України від 23.05.2012 року №513 «Про затвердження Порядку проведення інвентаризації земель»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звернення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Малишевої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Ірини Анатоліївни та гр. Малишева Анатолія Костянтиновича, який діє на </w:t>
      </w:r>
      <w:r w:rsidR="0054145F">
        <w:rPr>
          <w:rFonts w:ascii="Times New Roman" w:hAnsi="Times New Roman" w:cs="Times New Roman"/>
          <w:sz w:val="28"/>
          <w:szCs w:val="24"/>
          <w:lang w:val="uk-UA"/>
        </w:rPr>
        <w:t xml:space="preserve">підставі </w:t>
      </w:r>
      <w:r w:rsidR="005E4B03">
        <w:rPr>
          <w:rFonts w:ascii="Times New Roman" w:hAnsi="Times New Roman" w:cs="Times New Roman"/>
          <w:sz w:val="28"/>
          <w:szCs w:val="24"/>
          <w:lang w:val="uk-UA"/>
        </w:rPr>
        <w:t>довіреності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54145F" w:rsidRPr="006A6101">
        <w:rPr>
          <w:rFonts w:ascii="Times New Roman" w:hAnsi="Times New Roman" w:cs="Times New Roman"/>
          <w:sz w:val="28"/>
          <w:szCs w:val="24"/>
          <w:lang w:val="uk-UA"/>
        </w:rPr>
        <w:t>посвідченої нотаріусом</w:t>
      </w:r>
      <w:r w:rsidR="00D60120">
        <w:rPr>
          <w:rFonts w:ascii="Times New Roman" w:hAnsi="Times New Roman" w:cs="Times New Roman"/>
          <w:sz w:val="28"/>
          <w:szCs w:val="24"/>
          <w:lang w:val="uk-UA"/>
        </w:rPr>
        <w:t xml:space="preserve"> Грузії </w:t>
      </w:r>
      <w:r w:rsidR="0054145F"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60120">
        <w:rPr>
          <w:rFonts w:ascii="Times New Roman" w:hAnsi="Times New Roman" w:cs="Times New Roman"/>
          <w:sz w:val="28"/>
          <w:szCs w:val="24"/>
          <w:lang w:val="uk-UA"/>
        </w:rPr>
        <w:t xml:space="preserve">Ніно </w:t>
      </w:r>
      <w:proofErr w:type="spellStart"/>
      <w:r w:rsidR="00D60120">
        <w:rPr>
          <w:rFonts w:ascii="Times New Roman" w:hAnsi="Times New Roman" w:cs="Times New Roman"/>
          <w:sz w:val="28"/>
          <w:szCs w:val="24"/>
          <w:lang w:val="uk-UA"/>
        </w:rPr>
        <w:t>Матуашвілі</w:t>
      </w:r>
      <w:proofErr w:type="spellEnd"/>
      <w:r w:rsidR="0054145F"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від </w:t>
      </w:r>
      <w:r w:rsidR="00D60120">
        <w:rPr>
          <w:rFonts w:ascii="Times New Roman" w:hAnsi="Times New Roman" w:cs="Times New Roman"/>
          <w:sz w:val="28"/>
          <w:szCs w:val="24"/>
          <w:lang w:val="uk-UA"/>
        </w:rPr>
        <w:t xml:space="preserve">20.02.2023 року, реєстраційний номер нотаріальної дії </w:t>
      </w:r>
      <w:r w:rsidR="0054145F" w:rsidRPr="006A6101">
        <w:rPr>
          <w:rFonts w:ascii="Times New Roman" w:hAnsi="Times New Roman" w:cs="Times New Roman"/>
          <w:sz w:val="28"/>
          <w:szCs w:val="24"/>
          <w:lang w:val="uk-UA"/>
        </w:rPr>
        <w:t>№</w:t>
      </w:r>
      <w:r w:rsidR="00D60120">
        <w:rPr>
          <w:rFonts w:ascii="Times New Roman" w:hAnsi="Times New Roman" w:cs="Times New Roman"/>
          <w:sz w:val="28"/>
          <w:szCs w:val="24"/>
          <w:lang w:val="uk-UA"/>
        </w:rPr>
        <w:t>230213615, індивідуальний номер нотаріальної дії штрих код 06400086182723</w:t>
      </w:r>
      <w:r w:rsidR="0054145F"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від імені</w:t>
      </w:r>
      <w:r w:rsidR="0054145F" w:rsidRPr="006A6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0120">
        <w:rPr>
          <w:rFonts w:ascii="Times New Roman" w:hAnsi="Times New Roman" w:cs="Times New Roman"/>
          <w:sz w:val="28"/>
          <w:szCs w:val="28"/>
          <w:lang w:val="uk-UA"/>
        </w:rPr>
        <w:t>Гребініченко</w:t>
      </w:r>
      <w:proofErr w:type="spellEnd"/>
      <w:r w:rsidR="00D60120">
        <w:rPr>
          <w:rFonts w:ascii="Times New Roman" w:hAnsi="Times New Roman" w:cs="Times New Roman"/>
          <w:sz w:val="28"/>
          <w:szCs w:val="28"/>
          <w:lang w:val="uk-UA"/>
        </w:rPr>
        <w:t xml:space="preserve"> Валерії Ігорівни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стосовно надання дозволу на розроблення технічної документації із землеустрою щодо інвентаризації земельної ділянки, </w:t>
      </w:r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 xml:space="preserve">що перебуває в користуванні на умовах оренди у гр. </w:t>
      </w:r>
      <w:proofErr w:type="spellStart"/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>Гребініченко</w:t>
      </w:r>
      <w:proofErr w:type="spellEnd"/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 xml:space="preserve"> Валерії Ігорівни та гр. </w:t>
      </w:r>
      <w:proofErr w:type="spellStart"/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>Малишевої</w:t>
      </w:r>
      <w:proofErr w:type="spellEnd"/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 xml:space="preserve"> Ірини Анатоліївни, цільове призначення – для </w:t>
      </w:r>
      <w:r w:rsidR="00D60120" w:rsidRPr="00D60120">
        <w:rPr>
          <w:rFonts w:ascii="Times New Roman" w:hAnsi="Times New Roman" w:cs="Times New Roman"/>
          <w:sz w:val="28"/>
          <w:szCs w:val="28"/>
          <w:lang w:val="uk-UA"/>
        </w:rPr>
        <w:t>індивідуального дачного будівництва</w:t>
      </w:r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 xml:space="preserve">, розташованої за адресою: Одеська область, Одеський район, </w:t>
      </w:r>
      <w:r w:rsidR="00D60120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>с. Фонтанка, вул. Молодіжна, 57/98</w:t>
      </w:r>
      <w:r w:rsidR="00D60120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1D0891" w:rsidRPr="00610BBB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ab/>
      </w:r>
    </w:p>
    <w:p w:rsidR="001D0891" w:rsidRPr="00610BBB" w:rsidRDefault="001D0891" w:rsidP="001D089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>В И Р І Ш И Л А:</w:t>
      </w:r>
    </w:p>
    <w:p w:rsidR="001D0891" w:rsidRPr="00610BBB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Pr="00610BBB" w:rsidRDefault="001D0891" w:rsidP="00D601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1. Надати дозвіл  на  розробку технічної документації із землеустрою щодо інвентаризації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земельної ділянки, </w:t>
      </w:r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 xml:space="preserve">що перебуває в користуванні на умовах оренди </w:t>
      </w:r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у гр. </w:t>
      </w:r>
      <w:proofErr w:type="spellStart"/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>Гребініченко</w:t>
      </w:r>
      <w:proofErr w:type="spellEnd"/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 xml:space="preserve"> Валерії Ігорівни та гр. </w:t>
      </w:r>
      <w:proofErr w:type="spellStart"/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>Малишевої</w:t>
      </w:r>
      <w:proofErr w:type="spellEnd"/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 xml:space="preserve"> Ірини Анатоліївни, цільове призначення – для </w:t>
      </w:r>
      <w:r w:rsidR="00D60120" w:rsidRPr="00D60120">
        <w:rPr>
          <w:rFonts w:ascii="Times New Roman" w:hAnsi="Times New Roman" w:cs="Times New Roman"/>
          <w:sz w:val="28"/>
          <w:szCs w:val="28"/>
          <w:lang w:val="uk-UA"/>
        </w:rPr>
        <w:t>індивідуального дачного будівництва</w:t>
      </w:r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 xml:space="preserve">, розташованої за адресою: Одеська область, Одеський район, </w:t>
      </w:r>
      <w:r w:rsidR="00D60120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60120" w:rsidRPr="00D60120">
        <w:rPr>
          <w:rFonts w:ascii="Times New Roman" w:hAnsi="Times New Roman" w:cs="Times New Roman"/>
          <w:sz w:val="28"/>
          <w:szCs w:val="24"/>
          <w:lang w:val="uk-UA"/>
        </w:rPr>
        <w:t>с. Фонтанка, вул. Молодіжна, 57/98</w:t>
      </w:r>
    </w:p>
    <w:p w:rsidR="001D0891" w:rsidRDefault="001D0891" w:rsidP="001D0891">
      <w:pPr>
        <w:spacing w:before="100" w:beforeAutospacing="1" w:after="100" w:afterAutospacing="1"/>
        <w:ind w:right="-1" w:firstLine="567"/>
        <w:contextualSpacing/>
        <w:jc w:val="both"/>
        <w:rPr>
          <w:sz w:val="28"/>
          <w:szCs w:val="24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4"/>
          <w:lang w:val="uk-UA"/>
        </w:rPr>
        <w:t>Т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ехнічну документацію із землеустрою щодо інвентаризації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земельної ділянки </w:t>
      </w:r>
      <w:r w:rsidRPr="00555F8A">
        <w:rPr>
          <w:rFonts w:ascii="Times New Roman" w:hAnsi="Times New Roman" w:cs="Times New Roman"/>
          <w:sz w:val="28"/>
          <w:szCs w:val="24"/>
          <w:lang w:val="uk-UA"/>
        </w:rPr>
        <w:t>погодити та подати на затвердження сільській раді у встановленому чинним законодавством порядку</w:t>
      </w:r>
      <w:r w:rsidRPr="00555F8A">
        <w:rPr>
          <w:rFonts w:ascii="Times New Roman" w:hAnsi="Times New Roman" w:cs="Times New Roman"/>
          <w:sz w:val="28"/>
          <w:szCs w:val="24"/>
        </w:rPr>
        <w:t>.</w:t>
      </w:r>
      <w:r>
        <w:rPr>
          <w:sz w:val="28"/>
          <w:szCs w:val="24"/>
        </w:rPr>
        <w:t xml:space="preserve"> </w:t>
      </w:r>
    </w:p>
    <w:p w:rsidR="001D0891" w:rsidRPr="00610BBB" w:rsidRDefault="001D0891" w:rsidP="001D0891">
      <w:pPr>
        <w:spacing w:before="100" w:beforeAutospacing="1" w:after="100" w:afterAutospacing="1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D0891" w:rsidRPr="00610BBB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623AA8" w:rsidRPr="0014331F" w:rsidRDefault="00623AA8" w:rsidP="00623AA8">
      <w:pPr>
        <w:jc w:val="both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1D0891" w:rsidRPr="00623AA8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1D08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0891" w:rsidRDefault="001D0891" w:rsidP="00623A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bookmarkStart w:id="0" w:name="_GoBack"/>
      <w:bookmarkEnd w:id="0"/>
    </w:p>
    <w:sectPr w:rsidR="001D089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5F"/>
    <w:rsid w:val="001D0891"/>
    <w:rsid w:val="0054145F"/>
    <w:rsid w:val="005E4B03"/>
    <w:rsid w:val="00623AA8"/>
    <w:rsid w:val="00A30139"/>
    <w:rsid w:val="00B3145F"/>
    <w:rsid w:val="00D60120"/>
    <w:rsid w:val="00EB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B8FA9"/>
  <w15:chartTrackingRefBased/>
  <w15:docId w15:val="{FC65EC64-4DCA-48B6-B0A9-7CDEC971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89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A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rmal (Web)"/>
    <w:basedOn w:val="a"/>
    <w:uiPriority w:val="99"/>
    <w:unhideWhenUsed/>
    <w:rsid w:val="0062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623AA8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2025-06-11T05:11:00Z</dcterms:created>
  <dcterms:modified xsi:type="dcterms:W3CDTF">2025-06-11T06:37:00Z</dcterms:modified>
</cp:coreProperties>
</file>